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869" w:rsidRPr="00013E44" w:rsidRDefault="00CD3869" w:rsidP="00CD3869">
      <w:pPr>
        <w:spacing w:line="360" w:lineRule="auto"/>
        <w:jc w:val="both"/>
        <w:rPr>
          <w:b/>
        </w:rPr>
      </w:pPr>
      <w:r w:rsidRPr="00013E44">
        <w:rPr>
          <w:b/>
        </w:rPr>
        <w:t xml:space="preserve">Kaseózní lymfadenitida, co o ní víme </w:t>
      </w:r>
    </w:p>
    <w:p w:rsidR="00CD3869" w:rsidRDefault="00CD3869" w:rsidP="00CD3869">
      <w:pPr>
        <w:spacing w:line="360" w:lineRule="auto"/>
        <w:jc w:val="both"/>
      </w:pPr>
      <w:r>
        <w:t xml:space="preserve">MVDr. Soňa </w:t>
      </w:r>
      <w:proofErr w:type="spellStart"/>
      <w:r>
        <w:t>Šlosárková</w:t>
      </w:r>
      <w:proofErr w:type="spellEnd"/>
      <w:r>
        <w:t xml:space="preserve">, Ph.D., </w:t>
      </w:r>
      <w:bookmarkStart w:id="0" w:name="_GoBack"/>
      <w:bookmarkEnd w:id="0"/>
      <w:r>
        <w:t xml:space="preserve">MVDr. Petr </w:t>
      </w:r>
      <w:proofErr w:type="spellStart"/>
      <w:r>
        <w:t>Fleischer</w:t>
      </w:r>
      <w:proofErr w:type="spellEnd"/>
      <w:r>
        <w:t xml:space="preserve">, Ph.D. (Výzkumný ústav veterinárního lékařství, v. v. i. Brno) </w:t>
      </w:r>
    </w:p>
    <w:p w:rsidR="00CD3869" w:rsidRDefault="00CD3869" w:rsidP="00CD3869">
      <w:pPr>
        <w:spacing w:line="360" w:lineRule="auto"/>
        <w:jc w:val="both"/>
      </w:pPr>
    </w:p>
    <w:p w:rsidR="00CD3869" w:rsidRDefault="00CD3869" w:rsidP="00CD3869">
      <w:pPr>
        <w:spacing w:line="360" w:lineRule="auto"/>
        <w:jc w:val="both"/>
      </w:pPr>
      <w:r>
        <w:t>Charakteristika nemoci</w:t>
      </w:r>
    </w:p>
    <w:p w:rsidR="00CD3869" w:rsidRDefault="00CD3869" w:rsidP="00CD3869">
      <w:pPr>
        <w:shd w:val="clear" w:color="auto" w:fill="FFFFFF"/>
        <w:spacing w:line="360" w:lineRule="auto"/>
        <w:jc w:val="both"/>
      </w:pPr>
      <w:r>
        <w:t xml:space="preserve">Nakažlivý </w:t>
      </w:r>
      <w:proofErr w:type="spellStart"/>
      <w:r>
        <w:t>absedující</w:t>
      </w:r>
      <w:proofErr w:type="spellEnd"/>
      <w:r>
        <w:t xml:space="preserve"> zánět povrchových mízních uzlin neboli superficiální </w:t>
      </w:r>
      <w:proofErr w:type="spellStart"/>
      <w:r>
        <w:t>abscedující</w:t>
      </w:r>
      <w:proofErr w:type="spellEnd"/>
      <w:r>
        <w:t xml:space="preserve"> lymfadenitida malých přežvýkavců, nazývaná většinou jako kaseózní lymfadenitida (</w:t>
      </w:r>
      <w:proofErr w:type="spellStart"/>
      <w:r>
        <w:t>c</w:t>
      </w:r>
      <w:r w:rsidRPr="00CD574A">
        <w:t>aseous</w:t>
      </w:r>
      <w:proofErr w:type="spellEnd"/>
      <w:r w:rsidRPr="00CD574A">
        <w:t xml:space="preserve"> </w:t>
      </w:r>
      <w:proofErr w:type="spellStart"/>
      <w:r w:rsidRPr="00CD574A">
        <w:t>lymphadenitis</w:t>
      </w:r>
      <w:proofErr w:type="spellEnd"/>
      <w:r>
        <w:t>,</w:t>
      </w:r>
      <w:r w:rsidRPr="00CD574A">
        <w:t xml:space="preserve"> </w:t>
      </w:r>
      <w:r>
        <w:t xml:space="preserve">CLA), nebo také pseudotuberkulóza, je způsobována nejčastěji infekcí </w:t>
      </w:r>
      <w:proofErr w:type="spellStart"/>
      <w:r w:rsidRPr="000B227F">
        <w:rPr>
          <w:i/>
        </w:rPr>
        <w:t>Corynebacterium</w:t>
      </w:r>
      <w:proofErr w:type="spellEnd"/>
      <w:r w:rsidRPr="000B227F">
        <w:rPr>
          <w:i/>
        </w:rPr>
        <w:t xml:space="preserve"> </w:t>
      </w:r>
      <w:proofErr w:type="spellStart"/>
      <w:r w:rsidRPr="000B227F">
        <w:rPr>
          <w:i/>
        </w:rPr>
        <w:t>pseudotuberculosis</w:t>
      </w:r>
      <w:proofErr w:type="spellEnd"/>
      <w:r>
        <w:t xml:space="preserve"> (</w:t>
      </w:r>
      <w:bookmarkStart w:id="1" w:name="_Hlk6306473"/>
      <w:proofErr w:type="spellStart"/>
      <w:r>
        <w:t>Fontaine</w:t>
      </w:r>
      <w:proofErr w:type="spellEnd"/>
      <w:r>
        <w:t xml:space="preserve"> a </w:t>
      </w:r>
      <w:proofErr w:type="spellStart"/>
      <w:r>
        <w:t>Baird</w:t>
      </w:r>
      <w:proofErr w:type="spellEnd"/>
      <w:r>
        <w:t>, 2008</w:t>
      </w:r>
      <w:bookmarkEnd w:id="1"/>
      <w:r>
        <w:t>;</w:t>
      </w:r>
      <w:r w:rsidRPr="00E15668">
        <w:t xml:space="preserve"> </w:t>
      </w:r>
      <w:r>
        <w:t xml:space="preserve">Windsor, 2011). U postižených zvířat jsou patrné velké „boule“ – velké abscesy v podkoží, typicky lokalizované zejména v povrchových mízních uzlinách (obrázek 1 a 2), především na hlavě – v příušních, </w:t>
      </w:r>
      <w:proofErr w:type="spellStart"/>
      <w:r>
        <w:t>retrofaryngeálních</w:t>
      </w:r>
      <w:proofErr w:type="spellEnd"/>
      <w:r>
        <w:t xml:space="preserve"> a podčelistních mízních uzlinách, mohou se však lokalizovat kdekoliv v podkoží, ale také ve vnitřních orgánech (obrázek 3 a 4), zejména plicích (</w:t>
      </w:r>
      <w:proofErr w:type="spellStart"/>
      <w:r>
        <w:t>Fontaine</w:t>
      </w:r>
      <w:proofErr w:type="spellEnd"/>
      <w:r>
        <w:t xml:space="preserve"> a </w:t>
      </w:r>
      <w:proofErr w:type="spellStart"/>
      <w:r>
        <w:t>Baird</w:t>
      </w:r>
      <w:proofErr w:type="spellEnd"/>
      <w:r>
        <w:t xml:space="preserve">, 2008). </w:t>
      </w:r>
      <w:r w:rsidRPr="004322E9">
        <w:rPr>
          <w:i/>
        </w:rPr>
        <w:t xml:space="preserve">C. </w:t>
      </w:r>
      <w:proofErr w:type="spellStart"/>
      <w:r w:rsidRPr="004322E9">
        <w:rPr>
          <w:i/>
        </w:rPr>
        <w:t>pseudotuberculosis</w:t>
      </w:r>
      <w:proofErr w:type="spellEnd"/>
      <w:r>
        <w:rPr>
          <w:i/>
        </w:rPr>
        <w:t xml:space="preserve"> </w:t>
      </w:r>
      <w:r w:rsidRPr="00602E03">
        <w:t>takto napadá</w:t>
      </w:r>
      <w:r>
        <w:rPr>
          <w:i/>
        </w:rPr>
        <w:t xml:space="preserve"> </w:t>
      </w:r>
      <w:r>
        <w:t>kromě ovcí a koz také skot, prasata, koně, velbloudy, buvoly i lamy (</w:t>
      </w:r>
      <w:proofErr w:type="spellStart"/>
      <w:r>
        <w:t>Selim</w:t>
      </w:r>
      <w:proofErr w:type="spellEnd"/>
      <w:r>
        <w:t xml:space="preserve">, 2001; </w:t>
      </w:r>
      <w:proofErr w:type="spellStart"/>
      <w:r>
        <w:t>T</w:t>
      </w:r>
      <w:r w:rsidRPr="00EE7068">
        <w:t>ejedor</w:t>
      </w:r>
      <w:proofErr w:type="spellEnd"/>
      <w:r>
        <w:t xml:space="preserve"> et al., 2004; </w:t>
      </w:r>
      <w:proofErr w:type="spellStart"/>
      <w:r>
        <w:t>Nogradi</w:t>
      </w:r>
      <w:proofErr w:type="spellEnd"/>
      <w:r>
        <w:t xml:space="preserve"> et al., 2012; </w:t>
      </w:r>
      <w:proofErr w:type="spellStart"/>
      <w:r>
        <w:t>Sood</w:t>
      </w:r>
      <w:proofErr w:type="spellEnd"/>
      <w:r>
        <w:t xml:space="preserve"> et al., 2012; </w:t>
      </w:r>
      <w:proofErr w:type="spellStart"/>
      <w:r>
        <w:t>Sprake</w:t>
      </w:r>
      <w:proofErr w:type="spellEnd"/>
      <w:r>
        <w:t>, 2012;</w:t>
      </w:r>
      <w:r w:rsidRPr="00A474E5">
        <w:t xml:space="preserve"> </w:t>
      </w:r>
      <w:hyperlink r:id="rId4" w:tooltip="Find more records by this author" w:history="1">
        <w:proofErr w:type="spellStart"/>
        <w:r w:rsidRPr="008C357F">
          <w:t>Oliveira</w:t>
        </w:r>
        <w:proofErr w:type="spellEnd"/>
        <w:r w:rsidRPr="008C357F">
          <w:t xml:space="preserve"> et al., 2014</w:t>
        </w:r>
      </w:hyperlink>
      <w:r>
        <w:t xml:space="preserve">). </w:t>
      </w:r>
    </w:p>
    <w:p w:rsidR="00CD3869" w:rsidRDefault="00CD3869" w:rsidP="00CD3869">
      <w:pPr>
        <w:shd w:val="clear" w:color="auto" w:fill="FFFFFF"/>
        <w:spacing w:line="360" w:lineRule="auto"/>
        <w:jc w:val="both"/>
      </w:pPr>
      <w:r>
        <w:t xml:space="preserve">Výskyt </w:t>
      </w:r>
      <w:proofErr w:type="spellStart"/>
      <w:r>
        <w:t>abscedujícího</w:t>
      </w:r>
      <w:proofErr w:type="spellEnd"/>
      <w:r>
        <w:t xml:space="preserve"> onemocnění způsobeného </w:t>
      </w:r>
      <w:r w:rsidRPr="00257A4C">
        <w:rPr>
          <w:i/>
        </w:rPr>
        <w:t>C</w:t>
      </w:r>
      <w:r>
        <w:rPr>
          <w:i/>
        </w:rPr>
        <w:t>.</w:t>
      </w:r>
      <w:r w:rsidRPr="00257A4C">
        <w:rPr>
          <w:i/>
        </w:rPr>
        <w:t xml:space="preserve"> </w:t>
      </w:r>
      <w:proofErr w:type="spellStart"/>
      <w:r w:rsidRPr="00257A4C">
        <w:rPr>
          <w:i/>
        </w:rPr>
        <w:t>pseudotuberculosis</w:t>
      </w:r>
      <w:proofErr w:type="spellEnd"/>
      <w:r>
        <w:t xml:space="preserve"> je, i když méně často, popisován i u lidí (</w:t>
      </w:r>
      <w:proofErr w:type="spellStart"/>
      <w:r w:rsidRPr="005F531D">
        <w:t>Romero-Perez</w:t>
      </w:r>
      <w:proofErr w:type="spellEnd"/>
      <w:r w:rsidRPr="005F531D">
        <w:t xml:space="preserve"> et al., 2004; </w:t>
      </w:r>
      <w:proofErr w:type="spellStart"/>
      <w:r w:rsidRPr="005F531D">
        <w:t>Join</w:t>
      </w:r>
      <w:r>
        <w:t>-Lammbert</w:t>
      </w:r>
      <w:proofErr w:type="spellEnd"/>
      <w:r>
        <w:t xml:space="preserve"> et al., 2006). Jedná se tedy o nákazu se </w:t>
      </w:r>
      <w:proofErr w:type="spellStart"/>
      <w:r>
        <w:t>zoonotickým</w:t>
      </w:r>
      <w:proofErr w:type="spellEnd"/>
      <w:r>
        <w:t xml:space="preserve"> potenciálem, kdy k infekci lidí dochází nejčastěji přes poraněnou kůži. Může k ní ale dojít i po požití nepasterizovaného mléka. </w:t>
      </w:r>
    </w:p>
    <w:p w:rsidR="00CD3869" w:rsidRDefault="00CD3869" w:rsidP="00CD3869">
      <w:pPr>
        <w:shd w:val="clear" w:color="auto" w:fill="FFFFFF"/>
        <w:spacing w:line="360" w:lineRule="auto"/>
        <w:jc w:val="both"/>
      </w:pPr>
      <w:r>
        <w:t xml:space="preserve">Nakažlivé podkožní abscesy mohou být méně často způsobeny i jinými pyogenními mikroorganismy, zejména stafylokoky, konkrétně </w:t>
      </w:r>
      <w:r w:rsidRPr="00A854D9">
        <w:rPr>
          <w:i/>
        </w:rPr>
        <w:t>S. aureus</w:t>
      </w:r>
      <w:r>
        <w:t xml:space="preserve"> </w:t>
      </w:r>
      <w:proofErr w:type="spellStart"/>
      <w:r>
        <w:t>ssp</w:t>
      </w:r>
      <w:proofErr w:type="spellEnd"/>
      <w:r>
        <w:t xml:space="preserve">. </w:t>
      </w:r>
      <w:r w:rsidRPr="00A854D9">
        <w:rPr>
          <w:i/>
        </w:rPr>
        <w:t>aureus</w:t>
      </w:r>
      <w:r>
        <w:t xml:space="preserve"> a </w:t>
      </w:r>
      <w:r w:rsidRPr="00A854D9">
        <w:rPr>
          <w:i/>
        </w:rPr>
        <w:t>S. aureus</w:t>
      </w:r>
      <w:r>
        <w:t xml:space="preserve"> </w:t>
      </w:r>
      <w:proofErr w:type="spellStart"/>
      <w:r>
        <w:t>ssp</w:t>
      </w:r>
      <w:proofErr w:type="spellEnd"/>
      <w:r>
        <w:t xml:space="preserve">. </w:t>
      </w:r>
      <w:proofErr w:type="spellStart"/>
      <w:r w:rsidRPr="00A854D9">
        <w:rPr>
          <w:i/>
        </w:rPr>
        <w:t>anaerobius</w:t>
      </w:r>
      <w:proofErr w:type="spellEnd"/>
      <w:r>
        <w:t xml:space="preserve">), potom jde o onemocnění označované jako tzv. </w:t>
      </w:r>
      <w:proofErr w:type="spellStart"/>
      <w:r>
        <w:t>Morelova</w:t>
      </w:r>
      <w:proofErr w:type="spellEnd"/>
      <w:r>
        <w:t xml:space="preserve"> choroba a její výskyt v podobě vážného problému celého velkého stáda ovcí (a koz) byl zaznamenán i v ČR (</w:t>
      </w:r>
      <w:proofErr w:type="spellStart"/>
      <w:r>
        <w:t>Šlosárková</w:t>
      </w:r>
      <w:proofErr w:type="spellEnd"/>
      <w:r>
        <w:t xml:space="preserve"> et al., 2019). </w:t>
      </w:r>
    </w:p>
    <w:p w:rsidR="00CD3869" w:rsidRDefault="00CD3869" w:rsidP="00CD3869">
      <w:pPr>
        <w:spacing w:line="360" w:lineRule="auto"/>
        <w:jc w:val="both"/>
      </w:pPr>
      <w:r>
        <w:t xml:space="preserve">POZOR! Zdaleka ne všechny podkožní abscesy u ovcí a koz jsou způsobeny uvedenými původci, tj. původci, kteří jsou odpovědni za nakažlivý charakter onemocnění. Naopak většina abscesů (zejména pokud je naleznete ojediněle, nebo mimo typická místa) je způsobena přímým poraněním kůže a infikováním místa poranění bez potenciálu šíření ve stádu. </w:t>
      </w:r>
    </w:p>
    <w:p w:rsidR="00CD3869" w:rsidRDefault="00CD3869" w:rsidP="00CD3869">
      <w:pPr>
        <w:spacing w:line="360" w:lineRule="auto"/>
        <w:jc w:val="both"/>
      </w:pPr>
    </w:p>
    <w:p w:rsidR="00CD3869" w:rsidRDefault="00CD3869" w:rsidP="00CD3869">
      <w:pPr>
        <w:spacing w:line="360" w:lineRule="auto"/>
        <w:jc w:val="both"/>
      </w:pPr>
      <w:r>
        <w:t xml:space="preserve">Výskyt v chovatelských zemích  </w:t>
      </w:r>
    </w:p>
    <w:p w:rsidR="00CD3869" w:rsidRDefault="00CD3869" w:rsidP="00CD3869">
      <w:pPr>
        <w:spacing w:line="360" w:lineRule="auto"/>
        <w:jc w:val="both"/>
      </w:pPr>
      <w:r>
        <w:t>Kaseózní lymfadenitida je rozšířená celosvětově, nejvíce v Austrálii, USA a Kanadě. Studie prevalence podle nálezů z jatek uváděla výskyt v Austrálii kolem 20 % (</w:t>
      </w:r>
      <w:proofErr w:type="spellStart"/>
      <w:r>
        <w:t>Paton</w:t>
      </w:r>
      <w:proofErr w:type="spellEnd"/>
      <w:r>
        <w:t xml:space="preserve"> et al., 2003) v USA 42,5 % (</w:t>
      </w:r>
      <w:proofErr w:type="spellStart"/>
      <w:r>
        <w:t>Stops</w:t>
      </w:r>
      <w:proofErr w:type="spellEnd"/>
      <w:r>
        <w:t>, 1984) a v Kanadě 21-36 % (</w:t>
      </w:r>
      <w:proofErr w:type="spellStart"/>
      <w:r>
        <w:t>Arsenault</w:t>
      </w:r>
      <w:proofErr w:type="spellEnd"/>
      <w:r>
        <w:t xml:space="preserve">, 2003). V Evropě je nejvíce </w:t>
      </w:r>
      <w:r>
        <w:lastRenderedPageBreak/>
        <w:t>rozšířeno v Anglii. Ve výše zmíněných státech (Windsor 2014) a ze sousedních zemí v Horním Rakousku (</w:t>
      </w:r>
      <w:r w:rsidRPr="005F4DFB">
        <w:t>S</w:t>
      </w:r>
      <w:r w:rsidRPr="00585643">
        <w:t>odoma</w:t>
      </w:r>
      <w:r>
        <w:t xml:space="preserve"> et al., 2014)</w:t>
      </w:r>
      <w:r>
        <w:rPr>
          <w:rFonts w:ascii="Arial" w:eastAsiaTheme="minorHAnsi" w:hAnsi="Arial" w:cs="Arial"/>
          <w:b/>
          <w:bCs/>
          <w:sz w:val="20"/>
          <w:szCs w:val="20"/>
          <w:lang w:eastAsia="en-US"/>
        </w:rPr>
        <w:t xml:space="preserve">, </w:t>
      </w:r>
      <w:r>
        <w:t>byly již v minulých dekádách spuštěny národní/zemské programy monitoringu a tlumení CLA. O tuzemských zkušenostech s CLA především u jednotlivých zvířat nebo ve stádu, či obecněji, referovali čeští veterinární lékaři v nedávné době (</w:t>
      </w:r>
      <w:proofErr w:type="spellStart"/>
      <w:r>
        <w:t>Axmann</w:t>
      </w:r>
      <w:proofErr w:type="spellEnd"/>
      <w:r>
        <w:t xml:space="preserve">, 2014; </w:t>
      </w:r>
      <w:proofErr w:type="spellStart"/>
      <w:r>
        <w:t>Fleischer</w:t>
      </w:r>
      <w:proofErr w:type="spellEnd"/>
      <w:r>
        <w:t xml:space="preserve"> a kol., 2014; </w:t>
      </w:r>
      <w:proofErr w:type="spellStart"/>
      <w:r>
        <w:t>Kazatelová</w:t>
      </w:r>
      <w:proofErr w:type="spellEnd"/>
      <w:r>
        <w:t xml:space="preserve"> a kol., 2016). Směrodatná data o výskytu CLA v České republice prozatím ale neexistují. Na základě přímých kontaktů s chovateli jako aktivní členka zdravotní komise Svazu chovatelů ovcí a koz (SCHOK) však mohu říci, že její výskyt s velkou pravděpodobností v ČR stoupá a bývá bohužel zjišťována i v chovech plemenných zvířat, odkud se může snadno nákupem zvířat rozšířit do dalších chovů. Onemocnění</w:t>
      </w:r>
      <w:r w:rsidR="00B0459D">
        <w:t xml:space="preserve"> s</w:t>
      </w:r>
      <w:r>
        <w:t xml:space="preserve"> sebou přináší i nemalé ekonomické ztráty spojené s brakováním postižených zvířat, s náklady spojenými s dlouhodobou léčbou postižených kusů, nižší užitkovostí stáda, snížením plodnosti, zvýšením počtu somatických buněk v mléce a se ztrátami způsobenými případnou konfiskací jatečného trupu. Šíří se v chovu plíživě, v řádu měsíců až let. </w:t>
      </w:r>
    </w:p>
    <w:p w:rsidR="00CD3869" w:rsidRDefault="00CD3869" w:rsidP="00CD3869">
      <w:pPr>
        <w:spacing w:line="360" w:lineRule="auto"/>
        <w:jc w:val="both"/>
      </w:pPr>
    </w:p>
    <w:p w:rsidR="00CD3869" w:rsidRDefault="00CD3869" w:rsidP="00CD3869">
      <w:pPr>
        <w:spacing w:line="360" w:lineRule="auto"/>
        <w:jc w:val="both"/>
      </w:pPr>
      <w:r>
        <w:t>Co víme o původci</w:t>
      </w:r>
    </w:p>
    <w:p w:rsidR="00CD3869" w:rsidRDefault="00CD3869" w:rsidP="00CD3869">
      <w:pPr>
        <w:spacing w:line="360" w:lineRule="auto"/>
        <w:jc w:val="both"/>
      </w:pPr>
      <w:proofErr w:type="spellStart"/>
      <w:r w:rsidRPr="00F13864">
        <w:rPr>
          <w:i/>
        </w:rPr>
        <w:t>Corynebacterium</w:t>
      </w:r>
      <w:proofErr w:type="spellEnd"/>
      <w:r w:rsidRPr="00F13864">
        <w:rPr>
          <w:i/>
        </w:rPr>
        <w:t xml:space="preserve"> </w:t>
      </w:r>
      <w:proofErr w:type="spellStart"/>
      <w:r w:rsidRPr="00F13864">
        <w:rPr>
          <w:i/>
        </w:rPr>
        <w:t>pseudotuberculosis</w:t>
      </w:r>
      <w:proofErr w:type="spellEnd"/>
      <w:r>
        <w:rPr>
          <w:i/>
        </w:rPr>
        <w:t xml:space="preserve"> </w:t>
      </w:r>
      <w:r w:rsidRPr="00CC4DCE">
        <w:t xml:space="preserve">je ve vnějším prostředí vysoce odolná </w:t>
      </w:r>
      <w:r>
        <w:t>Gram pozitivní bakterie, která je schopná zůstat infekční i déle než 2 roky. Šíří se do prostředí z hnisu abscesů nemocných zvířat. Zdrojem infekce jsou pro zvířata kontaminované pastviny a keře, voda, krmivo, chovné zařízení, vybavení na stříhání ovcí apod. Do organismu proniká zejména porušenou kůží, pozřením</w:t>
      </w:r>
      <w:r w:rsidR="00B0459D">
        <w:t>,</w:t>
      </w:r>
      <w:r>
        <w:t xml:space="preserve"> ale i vdechnutím původce do dýchacích cest. Infekce je potencionálně celoživotní (</w:t>
      </w:r>
      <w:proofErr w:type="spellStart"/>
      <w:r w:rsidRPr="00DE5A59">
        <w:t>Williamson</w:t>
      </w:r>
      <w:proofErr w:type="spellEnd"/>
      <w:r w:rsidRPr="00DE5A59">
        <w:t xml:space="preserve"> 2001; </w:t>
      </w:r>
      <w:proofErr w:type="spellStart"/>
      <w:r>
        <w:t>Fontaine</w:t>
      </w:r>
      <w:proofErr w:type="spellEnd"/>
      <w:r>
        <w:t xml:space="preserve"> a </w:t>
      </w:r>
      <w:proofErr w:type="spellStart"/>
      <w:r>
        <w:t>Baird</w:t>
      </w:r>
      <w:proofErr w:type="spellEnd"/>
      <w:r>
        <w:t>, 2008). Během prvních dnů po infekci je původce rozšiřován pomocí krve a mízy, dochází k jeho množení, je zanášen do mízních uzlin</w:t>
      </w:r>
      <w:r w:rsidR="00B0459D">
        <w:t>,</w:t>
      </w:r>
      <w:r>
        <w:t xml:space="preserve"> ale i vnitřních orgánů (zejména plic, jater a ledvin) a zde se množí. </w:t>
      </w:r>
      <w:proofErr w:type="spellStart"/>
      <w:r>
        <w:t>Mikroabscesy</w:t>
      </w:r>
      <w:proofErr w:type="spellEnd"/>
      <w:r>
        <w:t xml:space="preserve"> jsou v mízních uzlinách přítomny již za 24 hodin po infekci. Tvorba viditelných abscesů je potom záležitostí 2-6 měsíců. Povrchové abscesy nemají zásadní dopad pro život zvířete, jsou však klíčové pro šíření infekce při prasknutí do vnějšího prostředí. Vnitřní abscesy jsou naopak pro život zvířete často velmi závažné, omezují funkce postižených orgánů, zejména pokud jde o lokalizaci v plicích nebo játrech, bohužel však vzhledem k nemožnosti klinického odhalení zůstávají častěji neodhalené a tudíž neřešené. I když je</w:t>
      </w:r>
      <w:r w:rsidRPr="004322E9">
        <w:rPr>
          <w:i/>
        </w:rPr>
        <w:t xml:space="preserve"> C. </w:t>
      </w:r>
      <w:proofErr w:type="spellStart"/>
      <w:r w:rsidRPr="004322E9">
        <w:rPr>
          <w:i/>
        </w:rPr>
        <w:t>pseudotuberculosis</w:t>
      </w:r>
      <w:proofErr w:type="spellEnd"/>
      <w:r>
        <w:t xml:space="preserve"> v laboratořích běžně citlivé k řadě i základních antibiotik (ATB), např. k penicilinovým ATB, tetracyklinům a </w:t>
      </w:r>
      <w:proofErr w:type="spellStart"/>
      <w:r>
        <w:t>makrolidům</w:t>
      </w:r>
      <w:proofErr w:type="spellEnd"/>
      <w:r>
        <w:t xml:space="preserve">, léčba bývá neúspěšná, což je dáno špatným průnikem ATB do opouzdřených abscesů a tím, že se jedná o vnitrobuněčného původce. </w:t>
      </w:r>
    </w:p>
    <w:p w:rsidR="00CD3869" w:rsidRDefault="00CD3869" w:rsidP="00CD3869">
      <w:pPr>
        <w:spacing w:line="360" w:lineRule="auto"/>
        <w:jc w:val="both"/>
      </w:pPr>
    </w:p>
    <w:p w:rsidR="00CD3869" w:rsidRDefault="00CD3869" w:rsidP="00CD3869">
      <w:pPr>
        <w:spacing w:line="360" w:lineRule="auto"/>
        <w:jc w:val="both"/>
      </w:pPr>
      <w:r>
        <w:t xml:space="preserve">Diagnostika </w:t>
      </w:r>
    </w:p>
    <w:p w:rsidR="00CD3869" w:rsidRDefault="00CD3869" w:rsidP="00CD3869">
      <w:pPr>
        <w:spacing w:line="360" w:lineRule="auto"/>
        <w:jc w:val="both"/>
      </w:pPr>
      <w:r>
        <w:lastRenderedPageBreak/>
        <w:t xml:space="preserve">Diagnostika CLA ve stádu je snazší, pokud jsou u více zvířat přítomny (viditelné) typické příznaky, tj. podkožní abscesy, a to zejména pokud se vyskytují na typických místech a pokud se počet postižených zvířat v chovu postupně zvyšuje. Nicméně </w:t>
      </w:r>
      <w:r w:rsidRPr="002F42A0">
        <w:t xml:space="preserve">vzhledem k tomu, že abscesy mohou být způsobeny i řadou jiných pyogenních organismů, </w:t>
      </w:r>
      <w:r>
        <w:t xml:space="preserve">kterými jsou </w:t>
      </w:r>
      <w:r w:rsidRPr="002F42A0">
        <w:t xml:space="preserve">např. </w:t>
      </w:r>
      <w:proofErr w:type="spellStart"/>
      <w:r w:rsidRPr="002F42A0">
        <w:rPr>
          <w:i/>
          <w:spacing w:val="2"/>
        </w:rPr>
        <w:t>Trueperella</w:t>
      </w:r>
      <w:proofErr w:type="spellEnd"/>
      <w:r w:rsidRPr="002F42A0">
        <w:rPr>
          <w:i/>
          <w:spacing w:val="2"/>
        </w:rPr>
        <w:t xml:space="preserve"> </w:t>
      </w:r>
      <w:proofErr w:type="spellStart"/>
      <w:r w:rsidRPr="002F42A0">
        <w:rPr>
          <w:i/>
          <w:spacing w:val="2"/>
        </w:rPr>
        <w:t>pyogenes</w:t>
      </w:r>
      <w:proofErr w:type="spellEnd"/>
      <w:r w:rsidRPr="002F42A0">
        <w:rPr>
          <w:spacing w:val="2"/>
        </w:rPr>
        <w:t xml:space="preserve"> (dříve </w:t>
      </w:r>
      <w:proofErr w:type="spellStart"/>
      <w:r w:rsidRPr="00F13864">
        <w:rPr>
          <w:i/>
        </w:rPr>
        <w:t>Corynebacterium</w:t>
      </w:r>
      <w:proofErr w:type="spellEnd"/>
      <w:r w:rsidRPr="002F42A0">
        <w:rPr>
          <w:i/>
          <w:spacing w:val="2"/>
        </w:rPr>
        <w:t xml:space="preserve"> </w:t>
      </w:r>
      <w:r w:rsidRPr="0083781F">
        <w:rPr>
          <w:spacing w:val="2"/>
        </w:rPr>
        <w:t>pak</w:t>
      </w:r>
      <w:r>
        <w:rPr>
          <w:i/>
          <w:spacing w:val="2"/>
        </w:rPr>
        <w:t xml:space="preserve"> </w:t>
      </w:r>
      <w:proofErr w:type="spellStart"/>
      <w:r w:rsidRPr="002F42A0">
        <w:rPr>
          <w:i/>
          <w:spacing w:val="2"/>
        </w:rPr>
        <w:t>Arcanobacterium</w:t>
      </w:r>
      <w:proofErr w:type="spellEnd"/>
      <w:r w:rsidRPr="002F42A0">
        <w:rPr>
          <w:i/>
          <w:spacing w:val="2"/>
        </w:rPr>
        <w:t xml:space="preserve"> </w:t>
      </w:r>
      <w:proofErr w:type="spellStart"/>
      <w:r w:rsidRPr="002F42A0">
        <w:rPr>
          <w:i/>
          <w:spacing w:val="2"/>
        </w:rPr>
        <w:t>pyogenes</w:t>
      </w:r>
      <w:proofErr w:type="spellEnd"/>
      <w:r w:rsidRPr="002F42A0">
        <w:rPr>
          <w:spacing w:val="2"/>
        </w:rPr>
        <w:t xml:space="preserve">), </w:t>
      </w:r>
      <w:proofErr w:type="spellStart"/>
      <w:r w:rsidRPr="002F42A0">
        <w:rPr>
          <w:i/>
          <w:spacing w:val="2"/>
        </w:rPr>
        <w:t>Staphylococcus</w:t>
      </w:r>
      <w:proofErr w:type="spellEnd"/>
      <w:r w:rsidRPr="002F42A0">
        <w:rPr>
          <w:i/>
          <w:spacing w:val="2"/>
        </w:rPr>
        <w:t xml:space="preserve"> aureus</w:t>
      </w:r>
      <w:r w:rsidRPr="002F42A0">
        <w:rPr>
          <w:spacing w:val="2"/>
        </w:rPr>
        <w:t xml:space="preserve">, </w:t>
      </w:r>
      <w:proofErr w:type="spellStart"/>
      <w:r w:rsidRPr="002F42A0">
        <w:rPr>
          <w:i/>
          <w:spacing w:val="2"/>
        </w:rPr>
        <w:t>Pasteurella</w:t>
      </w:r>
      <w:proofErr w:type="spellEnd"/>
      <w:r w:rsidRPr="002F42A0">
        <w:rPr>
          <w:i/>
          <w:spacing w:val="2"/>
        </w:rPr>
        <w:t xml:space="preserve"> </w:t>
      </w:r>
      <w:proofErr w:type="spellStart"/>
      <w:r w:rsidRPr="002F42A0">
        <w:rPr>
          <w:i/>
          <w:spacing w:val="2"/>
        </w:rPr>
        <w:t>multocida</w:t>
      </w:r>
      <w:proofErr w:type="spellEnd"/>
      <w:r w:rsidRPr="002F42A0">
        <w:rPr>
          <w:spacing w:val="2"/>
        </w:rPr>
        <w:t>, musí být diagnóza definitivně potvrzena bakteriologickou kultivací původce z obsahu abscesu</w:t>
      </w:r>
      <w:r>
        <w:rPr>
          <w:spacing w:val="2"/>
        </w:rPr>
        <w:t>, např. ve státních vyšetřovacích ústavech (SVÚ)</w:t>
      </w:r>
      <w:r w:rsidRPr="002F42A0">
        <w:rPr>
          <w:spacing w:val="2"/>
        </w:rPr>
        <w:t xml:space="preserve">. </w:t>
      </w:r>
      <w:r>
        <w:rPr>
          <w:spacing w:val="2"/>
        </w:rPr>
        <w:t xml:space="preserve">Kultivace je přitom relativně jednoduchá a rozpoznání původce je snadné. </w:t>
      </w:r>
      <w:r w:rsidRPr="002F42A0">
        <w:rPr>
          <w:spacing w:val="2"/>
        </w:rPr>
        <w:t>Zvířata s</w:t>
      </w:r>
      <w:r>
        <w:rPr>
          <w:spacing w:val="2"/>
        </w:rPr>
        <w:t> </w:t>
      </w:r>
      <w:r w:rsidRPr="002F42A0">
        <w:rPr>
          <w:spacing w:val="2"/>
        </w:rPr>
        <w:t>abscesy</w:t>
      </w:r>
      <w:r>
        <w:rPr>
          <w:spacing w:val="2"/>
        </w:rPr>
        <w:t xml:space="preserve"> jen ve vnitřních orgánech</w:t>
      </w:r>
      <w:r w:rsidRPr="002F42A0">
        <w:rPr>
          <w:spacing w:val="2"/>
        </w:rPr>
        <w:t xml:space="preserve"> </w:t>
      </w:r>
      <w:r>
        <w:rPr>
          <w:spacing w:val="2"/>
        </w:rPr>
        <w:t xml:space="preserve">a také infikovaná zvířata bez příznaků </w:t>
      </w:r>
      <w:r w:rsidRPr="002F42A0">
        <w:rPr>
          <w:spacing w:val="2"/>
        </w:rPr>
        <w:t xml:space="preserve">představují větší diagnostickou výzvu. </w:t>
      </w:r>
      <w:r>
        <w:rPr>
          <w:spacing w:val="2"/>
        </w:rPr>
        <w:t xml:space="preserve">Určitým pomocníkem v jejich odhalení může být </w:t>
      </w:r>
      <w:r w:rsidRPr="002F42A0">
        <w:rPr>
          <w:spacing w:val="2"/>
        </w:rPr>
        <w:t>sonografi</w:t>
      </w:r>
      <w:r>
        <w:rPr>
          <w:spacing w:val="2"/>
        </w:rPr>
        <w:t xml:space="preserve">cké (případně rentgenologické) vyšetření na přítomnost abscesů. Nespecifické příznaky onemocnění jako je zhoršený výživný stav a celkově zhoršený zdravotní stav vyžadují diferenciálně diagnosticky vyloučení řady jiných nemocí (např. </w:t>
      </w:r>
      <w:proofErr w:type="spellStart"/>
      <w:r>
        <w:rPr>
          <w:spacing w:val="2"/>
        </w:rPr>
        <w:t>helmintózy</w:t>
      </w:r>
      <w:proofErr w:type="spellEnd"/>
      <w:r>
        <w:rPr>
          <w:spacing w:val="2"/>
        </w:rPr>
        <w:t xml:space="preserve"> trávicího a dýchacího traktu, ale třeba i jen </w:t>
      </w:r>
      <w:r w:rsidRPr="002F42A0">
        <w:rPr>
          <w:spacing w:val="2"/>
        </w:rPr>
        <w:t>špatn</w:t>
      </w:r>
      <w:r>
        <w:rPr>
          <w:spacing w:val="2"/>
        </w:rPr>
        <w:t>ý</w:t>
      </w:r>
      <w:r w:rsidRPr="002F42A0">
        <w:rPr>
          <w:spacing w:val="2"/>
        </w:rPr>
        <w:t xml:space="preserve"> chrup</w:t>
      </w:r>
      <w:r>
        <w:rPr>
          <w:spacing w:val="2"/>
        </w:rPr>
        <w:t xml:space="preserve">, </w:t>
      </w:r>
      <w:proofErr w:type="spellStart"/>
      <w:r>
        <w:rPr>
          <w:spacing w:val="2"/>
        </w:rPr>
        <w:t>paratuberkulóza</w:t>
      </w:r>
      <w:proofErr w:type="spellEnd"/>
      <w:r>
        <w:rPr>
          <w:spacing w:val="2"/>
        </w:rPr>
        <w:t xml:space="preserve">). Aktuálně jedinou možností diagnostiky všech forem kaseózní lymfadenitidy je průkaz specifických </w:t>
      </w:r>
      <w:r>
        <w:t>protilátek v krvi, resp. v krevním séru. Jednotlivé serologické metody však neposkytují zcela jednoznačné výsledky (</w:t>
      </w:r>
      <w:proofErr w:type="spellStart"/>
      <w:r w:rsidRPr="0083781F">
        <w:t>Dercksen</w:t>
      </w:r>
      <w:proofErr w:type="spellEnd"/>
      <w:r w:rsidRPr="0083781F">
        <w:t xml:space="preserve"> a kol. 2000)</w:t>
      </w:r>
      <w:r>
        <w:t xml:space="preserve">. V ČR je od roku 2015 dostupné komerční vyšetření </w:t>
      </w:r>
      <w:r w:rsidRPr="008D6BE9">
        <w:rPr>
          <w:color w:val="000000"/>
        </w:rPr>
        <w:t xml:space="preserve">ELITEST CLA od </w:t>
      </w:r>
      <w:proofErr w:type="spellStart"/>
      <w:r w:rsidRPr="008D6BE9">
        <w:rPr>
          <w:color w:val="000000"/>
        </w:rPr>
        <w:t>Hyphen</w:t>
      </w:r>
      <w:proofErr w:type="spellEnd"/>
      <w:r w:rsidRPr="008D6BE9">
        <w:rPr>
          <w:color w:val="000000"/>
        </w:rPr>
        <w:t xml:space="preserve"> </w:t>
      </w:r>
      <w:proofErr w:type="spellStart"/>
      <w:r w:rsidRPr="008D6BE9">
        <w:rPr>
          <w:color w:val="000000"/>
        </w:rPr>
        <w:t>BioMed</w:t>
      </w:r>
      <w:proofErr w:type="spellEnd"/>
      <w:r>
        <w:rPr>
          <w:color w:val="000000"/>
        </w:rPr>
        <w:t xml:space="preserve"> (ve SVÚ)</w:t>
      </w:r>
      <w:r>
        <w:t xml:space="preserve">. Nicméně výsledky serologického vyšetření je potřeba interpretovat obezřetně v sounáležitosti s dalšími informacemi (tj. s výsledky klinického vyšetření zvířat, se znalostí zdravotní historie stáda apod.). Mělo by být doplněno bakteriologickým vyšetřením lézí, odebraných z postižených zvířat.  </w:t>
      </w:r>
    </w:p>
    <w:p w:rsidR="00CD3869" w:rsidRDefault="00CD3869" w:rsidP="00CD3869">
      <w:pPr>
        <w:shd w:val="clear" w:color="auto" w:fill="FFFFFF"/>
        <w:spacing w:line="330" w:lineRule="atLeast"/>
        <w:rPr>
          <w:rFonts w:ascii="Open Sans" w:hAnsi="Open Sans"/>
          <w:spacing w:val="2"/>
          <w:sz w:val="21"/>
          <w:szCs w:val="21"/>
        </w:rPr>
      </w:pPr>
    </w:p>
    <w:p w:rsidR="00CD3869" w:rsidRDefault="00CD3869" w:rsidP="00CD3869">
      <w:pPr>
        <w:spacing w:line="360" w:lineRule="auto"/>
        <w:jc w:val="both"/>
      </w:pPr>
      <w:r w:rsidRPr="00C0433E">
        <w:t xml:space="preserve">Léčba a </w:t>
      </w:r>
      <w:r>
        <w:t>tlumení</w:t>
      </w:r>
    </w:p>
    <w:p w:rsidR="00CD3869" w:rsidRDefault="00CD3869" w:rsidP="00CD3869">
      <w:pPr>
        <w:spacing w:line="360" w:lineRule="auto"/>
        <w:jc w:val="both"/>
      </w:pPr>
      <w:r>
        <w:t xml:space="preserve">Léčba by měla být prováděna s vědomím, že kaseózní lymfadenitida je považována za nevyléčitelné onemocnění. U geneticky cenných zvířat s viditelnými abscesy je někdy voleno chirurgické odstranění </w:t>
      </w:r>
      <w:proofErr w:type="spellStart"/>
      <w:r>
        <w:t>abscedujícího</w:t>
      </w:r>
      <w:proofErr w:type="spellEnd"/>
      <w:r>
        <w:t xml:space="preserve"> útvaru. Tím ovšem není zaručeno, že u daného zvířete již nejsou přítomna v organismu další hnisavá ložiska s </w:t>
      </w:r>
      <w:r w:rsidRPr="002F0017">
        <w:rPr>
          <w:i/>
        </w:rPr>
        <w:t xml:space="preserve">C. </w:t>
      </w:r>
      <w:proofErr w:type="spellStart"/>
      <w:r w:rsidRPr="002F0017">
        <w:rPr>
          <w:i/>
        </w:rPr>
        <w:t>pseudotuberculosis</w:t>
      </w:r>
      <w:proofErr w:type="spellEnd"/>
      <w:r>
        <w:t xml:space="preserve">, resp. že další ložiska někde nevznikají. </w:t>
      </w:r>
    </w:p>
    <w:p w:rsidR="00CD3869" w:rsidRDefault="00CD3869" w:rsidP="00CD3869">
      <w:pPr>
        <w:spacing w:line="360" w:lineRule="auto"/>
        <w:jc w:val="both"/>
      </w:pPr>
      <w:r>
        <w:t>V praxi se lze setkat často s incizí abscesu, následným vyprázdněním jeho obsahu a antiseptickým ošetřením, resp. výplachem (</w:t>
      </w:r>
      <w:proofErr w:type="spellStart"/>
      <w:r>
        <w:t>Kazatelová</w:t>
      </w:r>
      <w:proofErr w:type="spellEnd"/>
      <w:r>
        <w:t xml:space="preserve"> a kol., 2016). V těchto případech je potřeba pracovat přísně asepticky, v rukavicích, neškodně zlikvidovat veškerý evakuovaný obsah, dezinfikovat celou ránu např. jodovou tinkturou a opakovaně provádět dezinfekční výplachy rány do jejího úplného zhojení. Po dobu léčby zvíře izolovat, protože může být zdrojem infekce, a také místo provedení takového zákroku řádně sanovat. </w:t>
      </w:r>
    </w:p>
    <w:p w:rsidR="00CD3869" w:rsidRDefault="00CD3869" w:rsidP="00CD3869">
      <w:pPr>
        <w:spacing w:line="360" w:lineRule="auto"/>
        <w:jc w:val="both"/>
      </w:pPr>
      <w:r>
        <w:lastRenderedPageBreak/>
        <w:t xml:space="preserve">Vzhledem k tomu, že se jedná o bakteriální onemocnění, teoreticky se nabízí léčba kaseózní lymfadenitidy pomocí antibiotik. I když, jak již bylo výše zmíněno, je in vitro </w:t>
      </w:r>
      <w:r w:rsidRPr="001E19A6">
        <w:rPr>
          <w:i/>
        </w:rPr>
        <w:t xml:space="preserve">C. </w:t>
      </w:r>
      <w:proofErr w:type="spellStart"/>
      <w:r w:rsidRPr="001E19A6">
        <w:rPr>
          <w:i/>
        </w:rPr>
        <w:t>pseudotuberculosis</w:t>
      </w:r>
      <w:proofErr w:type="spellEnd"/>
      <w:r>
        <w:t xml:space="preserve"> citlivé vůči řadě antibiotik, in </w:t>
      </w:r>
      <w:proofErr w:type="spellStart"/>
      <w:r>
        <w:t>vivo</w:t>
      </w:r>
      <w:proofErr w:type="spellEnd"/>
      <w:r>
        <w:t xml:space="preserve">, tj. v organismu zvířete či člověka je jejich účinnost vzhledem k obtížnému pronikání do abscesů podstatně nižší. V poslední době byly publikovány studie o použití </w:t>
      </w:r>
      <w:proofErr w:type="spellStart"/>
      <w:r>
        <w:t>tulatromycinu</w:t>
      </w:r>
      <w:proofErr w:type="spellEnd"/>
      <w:r>
        <w:t xml:space="preserve"> jako efektivního antimikrobního přípravku, který díky své schopnosti se rozpouštět v tucích může efektivněji pronikat do opouzdřených lézí a působit na původce onemocnění. Léčbu antibiotiky je však potřeba považovat za pouze doplňkové, nikoliv klíčové opatření. </w:t>
      </w:r>
    </w:p>
    <w:p w:rsidR="00CD3869" w:rsidRDefault="00CD3869" w:rsidP="00CD3869">
      <w:pPr>
        <w:spacing w:line="360" w:lineRule="auto"/>
        <w:jc w:val="both"/>
      </w:pPr>
      <w:r w:rsidRPr="001E19A6">
        <w:t xml:space="preserve">Vzhledem k povaze </w:t>
      </w:r>
      <w:r>
        <w:t xml:space="preserve">původce onemocnění, </w:t>
      </w:r>
      <w:r w:rsidRPr="001E19A6">
        <w:t xml:space="preserve">chronicitě onemocnění a potížím s úplným </w:t>
      </w:r>
      <w:r>
        <w:t>odstraněním</w:t>
      </w:r>
      <w:r w:rsidRPr="001E19A6">
        <w:t xml:space="preserve"> </w:t>
      </w:r>
      <w:r>
        <w:t xml:space="preserve">původce z </w:t>
      </w:r>
      <w:r w:rsidRPr="001E19A6">
        <w:t xml:space="preserve">organismu jednotlivých zvířat </w:t>
      </w:r>
      <w:r>
        <w:t xml:space="preserve">je nejpraktičtějším postupem při tlumení této nemoci vyřazování </w:t>
      </w:r>
      <w:proofErr w:type="spellStart"/>
      <w:r>
        <w:t>seropozitivních</w:t>
      </w:r>
      <w:proofErr w:type="spellEnd"/>
      <w:r>
        <w:t xml:space="preserve"> zvířat z chovu, zejména zvířat s klinickou formou onemocnění. Současně jsou tlumení CLA a také ochrana chovu před jejím zavlečením do něj založeny na dodržování p</w:t>
      </w:r>
      <w:r w:rsidRPr="001E19A6">
        <w:t>řísných opatření biologické bezpečnosti</w:t>
      </w:r>
      <w:r>
        <w:t>, která vedou k omezení/prevenci vzniku</w:t>
      </w:r>
      <w:r w:rsidRPr="001E19A6">
        <w:t xml:space="preserve"> nových případů</w:t>
      </w:r>
      <w:r>
        <w:t xml:space="preserve">. Jednou z cest tlumení nakažlivých </w:t>
      </w:r>
      <w:proofErr w:type="spellStart"/>
      <w:r>
        <w:t>absedujících</w:t>
      </w:r>
      <w:proofErr w:type="spellEnd"/>
      <w:r>
        <w:t xml:space="preserve"> zánětů mízních uzlin ve stádu, která je využívána v zahraničí a ojediněle i v ČR, je vakcinace komerčními nebo autogenními vakcínami (</w:t>
      </w:r>
      <w:proofErr w:type="spellStart"/>
      <w:r>
        <w:t>Šlosárková</w:t>
      </w:r>
      <w:proofErr w:type="spellEnd"/>
      <w:r>
        <w:t xml:space="preserve"> et al., 2019). </w:t>
      </w:r>
      <w:r w:rsidRPr="004A2AA5">
        <w:t xml:space="preserve">Je však důležité zdůraznit, že účinnost těchto vakcín není 100%, a </w:t>
      </w:r>
      <w:r>
        <w:t xml:space="preserve">že </w:t>
      </w:r>
      <w:r w:rsidRPr="004A2AA5">
        <w:t>očkování ne</w:t>
      </w:r>
      <w:r>
        <w:t xml:space="preserve">vyléčí již </w:t>
      </w:r>
      <w:r w:rsidRPr="004A2AA5">
        <w:t>infikovaná zvířata.</w:t>
      </w:r>
      <w:r>
        <w:t xml:space="preserve"> V ČR však není žádná z komerčních vakcín vyráběných v zahraničí registrována. Vakcinace znamená také zásadní problém v další diagnostice, protože vznik </w:t>
      </w:r>
      <w:proofErr w:type="spellStart"/>
      <w:r>
        <w:t>postvakcinačních</w:t>
      </w:r>
      <w:proofErr w:type="spellEnd"/>
      <w:r>
        <w:t xml:space="preserve"> protilátek znemožní odhalení přirozeně infikovaných zvířat. </w:t>
      </w:r>
    </w:p>
    <w:p w:rsidR="00CD3869" w:rsidRDefault="00CD3869" w:rsidP="00CD3869">
      <w:pPr>
        <w:spacing w:line="360" w:lineRule="auto"/>
        <w:jc w:val="both"/>
      </w:pPr>
    </w:p>
    <w:p w:rsidR="00CD3869" w:rsidRDefault="00CD3869" w:rsidP="00CD3869">
      <w:pPr>
        <w:spacing w:line="360" w:lineRule="auto"/>
        <w:jc w:val="both"/>
      </w:pPr>
      <w:r>
        <w:t>Situace v ČR</w:t>
      </w:r>
    </w:p>
    <w:p w:rsidR="00CD3869" w:rsidRDefault="00CD3869" w:rsidP="00CD3869">
      <w:pPr>
        <w:spacing w:line="360" w:lineRule="auto"/>
        <w:jc w:val="both"/>
      </w:pPr>
      <w:r>
        <w:t xml:space="preserve">Kaseózní lymfadenitida může znamenat v ČR závažný ekonomický a chovatelský problém, a to jak vzhledem k podceňování výskytu daného onemocnění v chovech produkčních, tak vzhledem k jejímu stoupajícímu výskytu i v chovech produkujících plemenná zvířata, kam jsou často importovány kusy ze zemí s vyšším výskytem CLA. Importované, resp. obecně nakoupené kusy by měly být drženy v karanténě, důkladně vyšetřeny na přítomnost abscesů, či jizev v okolí </w:t>
      </w:r>
      <w:proofErr w:type="spellStart"/>
      <w:r>
        <w:t>predilečních</w:t>
      </w:r>
      <w:proofErr w:type="spellEnd"/>
      <w:r>
        <w:t xml:space="preserve"> uzlin, a vyšetřeny opakovaně na přítomnost protilátek. Lze předpokládat, že se CLA v chovech ovcí a koz v ČR šíří i pomocí asymptomatických nosičů a že problém plíživě narůstá. </w:t>
      </w:r>
    </w:p>
    <w:p w:rsidR="00CD3869" w:rsidRDefault="00CD3869" w:rsidP="00CD3869">
      <w:pPr>
        <w:spacing w:line="360" w:lineRule="auto"/>
        <w:jc w:val="both"/>
      </w:pPr>
      <w:r>
        <w:t xml:space="preserve">K šíření mezi stády přispívá i nízká úroveň hygienických požadavků na střihače vlny, kteří působí jako mechanický vektor. Se zvyšujícím se </w:t>
      </w:r>
      <w:proofErr w:type="spellStart"/>
      <w:r>
        <w:t>promořením</w:t>
      </w:r>
      <w:proofErr w:type="spellEnd"/>
      <w:r>
        <w:t xml:space="preserve"> stád potom stoupá i riziko přenosu infekce na člověka, zejména chovatele, zpracovatele, ale i celou lidskou populaci, </w:t>
      </w:r>
      <w:r>
        <w:lastRenderedPageBreak/>
        <w:t>zejména s rozšiřujícím se zaváděním agroturistiky či s diverzifikací činností zemědělských subjektů (prodej masa, výrobků, sena apod</w:t>
      </w:r>
      <w:r w:rsidR="00472913">
        <w:t>.</w:t>
      </w:r>
      <w:r>
        <w:t xml:space="preserve">). </w:t>
      </w:r>
    </w:p>
    <w:p w:rsidR="00CD3869" w:rsidRDefault="00CD3869" w:rsidP="00CD3869">
      <w:pPr>
        <w:spacing w:line="360" w:lineRule="auto"/>
        <w:jc w:val="both"/>
      </w:pPr>
    </w:p>
    <w:p w:rsidR="00CD3869" w:rsidRDefault="00CD3869" w:rsidP="00CD3869">
      <w:pPr>
        <w:spacing w:line="360" w:lineRule="auto"/>
        <w:jc w:val="both"/>
      </w:pPr>
      <w:r>
        <w:t xml:space="preserve">Ve Výzkumném ústavu veterinárního lékařství, v. v. i. je od letošního roku řešen výzkumný projekt </w:t>
      </w:r>
      <w:r w:rsidRPr="00F83FDC">
        <w:rPr>
          <w:rStyle w:val="Zdraznn"/>
          <w:bCs/>
          <w:i w:val="0"/>
          <w:iCs w:val="0"/>
          <w:shd w:val="clear" w:color="auto" w:fill="FFFFFF"/>
        </w:rPr>
        <w:t>NAZV</w:t>
      </w:r>
      <w:r w:rsidRPr="00F83FDC">
        <w:rPr>
          <w:shd w:val="clear" w:color="auto" w:fill="FFFFFF"/>
        </w:rPr>
        <w:t>-QK 1910082</w:t>
      </w:r>
      <w:r>
        <w:rPr>
          <w:shd w:val="clear" w:color="auto" w:fill="FFFFFF"/>
        </w:rPr>
        <w:t xml:space="preserve"> </w:t>
      </w:r>
      <w:r w:rsidRPr="00F83FDC">
        <w:rPr>
          <w:rStyle w:val="Zdraznn"/>
          <w:bCs/>
          <w:i w:val="0"/>
          <w:iCs w:val="0"/>
          <w:shd w:val="clear" w:color="auto" w:fill="FFFFFF"/>
        </w:rPr>
        <w:t>Bakteriální</w:t>
      </w:r>
      <w:r w:rsidRPr="00F83FDC">
        <w:rPr>
          <w:shd w:val="clear" w:color="auto" w:fill="FFFFFF"/>
        </w:rPr>
        <w:t>, </w:t>
      </w:r>
      <w:r w:rsidRPr="00F83FDC">
        <w:rPr>
          <w:rStyle w:val="Zdraznn"/>
          <w:bCs/>
          <w:i w:val="0"/>
          <w:iCs w:val="0"/>
          <w:shd w:val="clear" w:color="auto" w:fill="FFFFFF"/>
        </w:rPr>
        <w:t>parazitární</w:t>
      </w:r>
      <w:r w:rsidRPr="00F83FDC">
        <w:rPr>
          <w:shd w:val="clear" w:color="auto" w:fill="FFFFFF"/>
        </w:rPr>
        <w:t> a </w:t>
      </w:r>
      <w:r w:rsidRPr="00F83FDC">
        <w:rPr>
          <w:rStyle w:val="Zdraznn"/>
          <w:bCs/>
          <w:i w:val="0"/>
          <w:iCs w:val="0"/>
          <w:shd w:val="clear" w:color="auto" w:fill="FFFFFF"/>
        </w:rPr>
        <w:t>virové</w:t>
      </w:r>
      <w:r w:rsidRPr="00F83FDC">
        <w:rPr>
          <w:shd w:val="clear" w:color="auto" w:fill="FFFFFF"/>
        </w:rPr>
        <w:t xml:space="preserve"> infekce v chovech malých přežvýkavců, </w:t>
      </w:r>
      <w:r w:rsidRPr="00F83FDC">
        <w:t xml:space="preserve">v rámci Národní agentury zemědělského výzkumu, který má za cíl </w:t>
      </w:r>
      <w:r>
        <w:t xml:space="preserve">zejména </w:t>
      </w:r>
      <w:r w:rsidRPr="00F83FDC">
        <w:t xml:space="preserve">propracovat a rozšířit metody diagnostiky </w:t>
      </w:r>
      <w:r>
        <w:t xml:space="preserve">mj. i </w:t>
      </w:r>
      <w:r w:rsidRPr="00F83FDC">
        <w:t>t</w:t>
      </w:r>
      <w:r>
        <w:t>é</w:t>
      </w:r>
      <w:r w:rsidRPr="00F83FDC">
        <w:t>to nemoc</w:t>
      </w:r>
      <w:r>
        <w:t>i</w:t>
      </w:r>
      <w:r w:rsidRPr="00F83FDC">
        <w:t xml:space="preserve"> v chovech malých přežvýkavců, zvýšit </w:t>
      </w:r>
      <w:r>
        <w:t xml:space="preserve">mezi chovateli povědomí o v projektu sledovaných nemocech či infekcích. U chovatelů, kteří se dobrovolně zapojili do řešení projektu, provést </w:t>
      </w:r>
      <w:proofErr w:type="spellStart"/>
      <w:r>
        <w:t>screening</w:t>
      </w:r>
      <w:proofErr w:type="spellEnd"/>
      <w:r>
        <w:t xml:space="preserve"> výskytu dané nemoci/infekce a v případě zájmu o řešení zdravotního problému jim předat aktuální znalosti o patogenezi dané nemoci, konzultovat s nimi aktuální situaci a spolupracovat na možném postupu tlumení výskytu infekce ve stádu. </w:t>
      </w:r>
    </w:p>
    <w:p w:rsidR="00CD3869" w:rsidRPr="00CA3038" w:rsidRDefault="00CD3869" w:rsidP="00CD3869">
      <w:pPr>
        <w:spacing w:line="360" w:lineRule="auto"/>
        <w:jc w:val="both"/>
      </w:pPr>
      <w:r>
        <w:t xml:space="preserve">Příspěvek </w:t>
      </w:r>
      <w:r w:rsidRPr="004D1113">
        <w:t xml:space="preserve">vznikl za podpory Ministerstva zemědělství, </w:t>
      </w:r>
      <w:r>
        <w:t>v rámci řešení projektu</w:t>
      </w:r>
      <w:r w:rsidRPr="00FD5538">
        <w:t xml:space="preserve"> NAZV-QK 1910082 a</w:t>
      </w:r>
      <w:r>
        <w:t xml:space="preserve"> </w:t>
      </w:r>
      <w:r w:rsidRPr="004D1113">
        <w:t>institucionální podpor</w:t>
      </w:r>
      <w:r>
        <w:t>y</w:t>
      </w:r>
      <w:r w:rsidRPr="004D1113">
        <w:t xml:space="preserve"> MZE-RO0518</w:t>
      </w:r>
      <w:r>
        <w:t>.</w:t>
      </w:r>
    </w:p>
    <w:p w:rsidR="00CD3869" w:rsidRDefault="00CD3869" w:rsidP="00CD3869">
      <w:pPr>
        <w:spacing w:line="360" w:lineRule="auto"/>
        <w:jc w:val="both"/>
      </w:pPr>
      <w:r>
        <w:t>Literatura je k dispozici u autorů.</w:t>
      </w:r>
    </w:p>
    <w:p w:rsidR="00CD3869" w:rsidRPr="005E2CDD" w:rsidRDefault="00CD3869" w:rsidP="00CD3869">
      <w:pPr>
        <w:spacing w:line="360" w:lineRule="auto"/>
        <w:jc w:val="both"/>
      </w:pPr>
      <w:r w:rsidRPr="007B3257">
        <w:rPr>
          <w:rFonts w:ascii="Open Sans" w:hAnsi="Open Sans"/>
          <w:bCs/>
          <w:spacing w:val="2"/>
          <w:sz w:val="23"/>
          <w:szCs w:val="23"/>
        </w:rPr>
        <w:t xml:space="preserve">Obrázek 1 CLA, příušní mízní uzlina (převzato </w:t>
      </w:r>
      <w:hyperlink r:id="rId5" w:history="1">
        <w:r w:rsidRPr="007B3257">
          <w:rPr>
            <w:rStyle w:val="Hypertextovodkaz"/>
            <w:color w:val="auto"/>
          </w:rPr>
          <w:t>https://www.msdvetmanual.com/</w:t>
        </w:r>
      </w:hyperlink>
      <w:r w:rsidRPr="005E2CDD">
        <w:rPr>
          <w:rStyle w:val="Hypertextovodkaz"/>
          <w:color w:val="auto"/>
        </w:rPr>
        <w:t>, 11. 4. 2019)</w:t>
      </w:r>
    </w:p>
    <w:p w:rsidR="00CD3869" w:rsidRPr="00EB6944" w:rsidRDefault="00CD3869" w:rsidP="00CD3869">
      <w:pPr>
        <w:shd w:val="clear" w:color="auto" w:fill="FFFFFF"/>
        <w:textAlignment w:val="center"/>
        <w:rPr>
          <w:rFonts w:ascii="Open Sans" w:hAnsi="Open Sans"/>
          <w:b/>
          <w:bCs/>
          <w:color w:val="0F7C54"/>
          <w:spacing w:val="2"/>
          <w:sz w:val="23"/>
          <w:szCs w:val="23"/>
        </w:rPr>
      </w:pPr>
      <w:r w:rsidRPr="00EB6944">
        <w:rPr>
          <w:rFonts w:ascii="Open Sans" w:hAnsi="Open Sans"/>
          <w:noProof/>
        </w:rPr>
        <w:drawing>
          <wp:inline distT="0" distB="0" distL="0" distR="0" wp14:anchorId="382799D0" wp14:editId="62449827">
            <wp:extent cx="3333750" cy="2495550"/>
            <wp:effectExtent l="0" t="0" r="0" b="0"/>
            <wp:docPr id="6" name="obrázek 6" descr="Caseous lymphadenitis lesions, external form, parotid lymph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seous lymphadenitis lesions, external form, parotid lymph nod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p>
    <w:p w:rsidR="00CD3869" w:rsidRPr="00EB6944" w:rsidRDefault="00CD3869" w:rsidP="00CD3869">
      <w:pPr>
        <w:shd w:val="clear" w:color="auto" w:fill="FFFFFF"/>
        <w:spacing w:line="255" w:lineRule="atLeast"/>
        <w:jc w:val="right"/>
        <w:rPr>
          <w:rFonts w:ascii="Open Sans" w:hAnsi="Open Sans"/>
          <w:caps/>
          <w:color w:val="A4A1A5"/>
          <w:spacing w:val="2"/>
          <w:sz w:val="17"/>
          <w:szCs w:val="17"/>
        </w:rPr>
      </w:pPr>
      <w:r w:rsidRPr="00EB6944">
        <w:rPr>
          <w:rFonts w:ascii="Open Sans" w:hAnsi="Open Sans"/>
          <w:caps/>
          <w:color w:val="A4A1A5"/>
          <w:spacing w:val="2"/>
          <w:sz w:val="17"/>
          <w:szCs w:val="17"/>
        </w:rPr>
        <w:t>.</w:t>
      </w:r>
    </w:p>
    <w:p w:rsidR="00CD3869" w:rsidRPr="005E2CDD" w:rsidRDefault="00CD3869" w:rsidP="00CD3869">
      <w:pPr>
        <w:spacing w:line="360" w:lineRule="auto"/>
        <w:jc w:val="both"/>
        <w:rPr>
          <w:rFonts w:ascii="Open Sans" w:hAnsi="Open Sans"/>
          <w:bCs/>
          <w:spacing w:val="2"/>
          <w:sz w:val="23"/>
          <w:szCs w:val="23"/>
        </w:rPr>
      </w:pPr>
    </w:p>
    <w:p w:rsidR="00CD3869" w:rsidRPr="005E2CDD" w:rsidRDefault="00CD3869" w:rsidP="00CD3869">
      <w:pPr>
        <w:spacing w:line="360" w:lineRule="auto"/>
        <w:jc w:val="both"/>
        <w:rPr>
          <w:rStyle w:val="Hypertextovodkaz"/>
          <w:color w:val="auto"/>
        </w:rPr>
      </w:pPr>
      <w:r>
        <w:rPr>
          <w:rFonts w:ascii="Open Sans" w:hAnsi="Open Sans"/>
          <w:bCs/>
          <w:spacing w:val="2"/>
          <w:sz w:val="23"/>
          <w:szCs w:val="23"/>
        </w:rPr>
        <w:t xml:space="preserve">Obrázek 2 </w:t>
      </w:r>
      <w:r w:rsidRPr="005E2CDD">
        <w:rPr>
          <w:rFonts w:ascii="Open Sans" w:hAnsi="Open Sans"/>
          <w:bCs/>
          <w:spacing w:val="2"/>
          <w:sz w:val="23"/>
          <w:szCs w:val="23"/>
        </w:rPr>
        <w:t xml:space="preserve">CLA, </w:t>
      </w:r>
      <w:proofErr w:type="spellStart"/>
      <w:r w:rsidRPr="005E2CDD">
        <w:rPr>
          <w:rFonts w:ascii="Open Sans" w:hAnsi="Open Sans"/>
          <w:bCs/>
          <w:spacing w:val="2"/>
          <w:sz w:val="23"/>
          <w:szCs w:val="23"/>
        </w:rPr>
        <w:t>předkolenní</w:t>
      </w:r>
      <w:proofErr w:type="spellEnd"/>
      <w:r w:rsidRPr="005E2CDD">
        <w:rPr>
          <w:rFonts w:ascii="Open Sans" w:hAnsi="Open Sans"/>
          <w:bCs/>
          <w:spacing w:val="2"/>
          <w:sz w:val="23"/>
          <w:szCs w:val="23"/>
        </w:rPr>
        <w:t xml:space="preserve"> mízní uzlina (převzato </w:t>
      </w:r>
      <w:hyperlink r:id="rId7" w:history="1">
        <w:r w:rsidRPr="005E2CDD">
          <w:rPr>
            <w:rStyle w:val="Hypertextovodkaz"/>
            <w:color w:val="auto"/>
          </w:rPr>
          <w:t>https://www.msdvetmanual.com/</w:t>
        </w:r>
      </w:hyperlink>
      <w:r w:rsidRPr="005E2CDD">
        <w:rPr>
          <w:rStyle w:val="Hypertextovodkaz"/>
          <w:color w:val="auto"/>
        </w:rPr>
        <w:t>, 11.</w:t>
      </w:r>
      <w:r>
        <w:rPr>
          <w:rStyle w:val="Hypertextovodkaz"/>
          <w:color w:val="auto"/>
        </w:rPr>
        <w:t xml:space="preserve"> </w:t>
      </w:r>
      <w:r w:rsidRPr="005E2CDD">
        <w:rPr>
          <w:rStyle w:val="Hypertextovodkaz"/>
          <w:color w:val="auto"/>
        </w:rPr>
        <w:t>4.</w:t>
      </w:r>
      <w:r>
        <w:rPr>
          <w:rStyle w:val="Hypertextovodkaz"/>
          <w:color w:val="auto"/>
        </w:rPr>
        <w:t xml:space="preserve"> </w:t>
      </w:r>
      <w:r w:rsidRPr="005E2CDD">
        <w:rPr>
          <w:rStyle w:val="Hypertextovodkaz"/>
          <w:color w:val="auto"/>
        </w:rPr>
        <w:t>2019)</w:t>
      </w:r>
    </w:p>
    <w:p w:rsidR="00CD3869" w:rsidRDefault="00CD3869" w:rsidP="00CD3869">
      <w:pPr>
        <w:spacing w:line="360" w:lineRule="auto"/>
        <w:jc w:val="both"/>
      </w:pPr>
      <w:r>
        <w:rPr>
          <w:noProof/>
        </w:rPr>
        <w:lastRenderedPageBreak/>
        <w:drawing>
          <wp:inline distT="0" distB="0" distL="0" distR="0" wp14:anchorId="7C8DF6F7" wp14:editId="6D486A06">
            <wp:extent cx="3335020" cy="2493645"/>
            <wp:effectExtent l="0" t="0" r="0"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5020" cy="2493645"/>
                    </a:xfrm>
                    <a:prstGeom prst="rect">
                      <a:avLst/>
                    </a:prstGeom>
                    <a:noFill/>
                  </pic:spPr>
                </pic:pic>
              </a:graphicData>
            </a:graphic>
          </wp:inline>
        </w:drawing>
      </w:r>
    </w:p>
    <w:p w:rsidR="00CD3869" w:rsidRPr="007B3257" w:rsidRDefault="00CD3869" w:rsidP="00CD3869">
      <w:pPr>
        <w:shd w:val="clear" w:color="auto" w:fill="FFFFFF"/>
        <w:textAlignment w:val="center"/>
        <w:rPr>
          <w:rFonts w:ascii="Open Sans" w:hAnsi="Open Sans"/>
          <w:bCs/>
          <w:spacing w:val="2"/>
          <w:sz w:val="23"/>
          <w:szCs w:val="23"/>
        </w:rPr>
      </w:pPr>
      <w:r w:rsidRPr="007B3257">
        <w:rPr>
          <w:rFonts w:ascii="Open Sans" w:hAnsi="Open Sans"/>
          <w:bCs/>
          <w:spacing w:val="2"/>
          <w:sz w:val="23"/>
          <w:szCs w:val="23"/>
        </w:rPr>
        <w:t xml:space="preserve">Obrázek 3 CLA, vnitřní forma, abscesy na játrech ovce (převzato </w:t>
      </w:r>
      <w:hyperlink r:id="rId9" w:history="1">
        <w:r w:rsidRPr="007B3257">
          <w:rPr>
            <w:rStyle w:val="Hypertextovodkaz"/>
            <w:color w:val="auto"/>
          </w:rPr>
          <w:t>https://www.msdvetmanual.com/</w:t>
        </w:r>
      </w:hyperlink>
      <w:r w:rsidRPr="007B3257">
        <w:rPr>
          <w:rStyle w:val="Hypertextovodkaz"/>
          <w:color w:val="auto"/>
        </w:rPr>
        <w:t>, 11. 4. 2019)</w:t>
      </w:r>
    </w:p>
    <w:p w:rsidR="00CD3869" w:rsidRPr="005E2CDD" w:rsidRDefault="00CD3869" w:rsidP="00CD3869">
      <w:pPr>
        <w:shd w:val="clear" w:color="auto" w:fill="FFFFFF"/>
        <w:textAlignment w:val="center"/>
        <w:rPr>
          <w:rFonts w:ascii="Open Sans" w:hAnsi="Open Sans"/>
          <w:b/>
          <w:bCs/>
          <w:spacing w:val="2"/>
          <w:sz w:val="23"/>
          <w:szCs w:val="23"/>
        </w:rPr>
      </w:pPr>
      <w:r w:rsidRPr="005E2CDD">
        <w:rPr>
          <w:rFonts w:ascii="Open Sans" w:hAnsi="Open Sans"/>
          <w:noProof/>
        </w:rPr>
        <w:drawing>
          <wp:inline distT="0" distB="0" distL="0" distR="0" wp14:anchorId="0E18519B" wp14:editId="55FF70AA">
            <wp:extent cx="3333750" cy="2505075"/>
            <wp:effectExtent l="0" t="0" r="0" b="9525"/>
            <wp:docPr id="2" name="obrázek 9" descr="Caseous lymphadenitis lesions, internal form, liver of a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seous lymphadenitis lesions, internal form, liver of a shee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rsidR="00CD3869" w:rsidRPr="005E2CDD" w:rsidRDefault="00CD3869" w:rsidP="00CD3869">
      <w:pPr>
        <w:shd w:val="clear" w:color="auto" w:fill="FFFFFF"/>
        <w:textAlignment w:val="center"/>
        <w:rPr>
          <w:rFonts w:ascii="Open Sans" w:hAnsi="Open Sans"/>
          <w:b/>
          <w:bCs/>
          <w:spacing w:val="2"/>
          <w:sz w:val="23"/>
          <w:szCs w:val="23"/>
        </w:rPr>
      </w:pPr>
    </w:p>
    <w:p w:rsidR="00CD3869" w:rsidRPr="007B3257" w:rsidRDefault="00CD3869" w:rsidP="00CD3869">
      <w:pPr>
        <w:shd w:val="clear" w:color="auto" w:fill="FFFFFF"/>
        <w:textAlignment w:val="center"/>
        <w:rPr>
          <w:rFonts w:ascii="Open Sans" w:hAnsi="Open Sans"/>
          <w:bCs/>
          <w:spacing w:val="2"/>
          <w:sz w:val="23"/>
          <w:szCs w:val="23"/>
        </w:rPr>
      </w:pPr>
      <w:r w:rsidRPr="007B3257">
        <w:rPr>
          <w:rFonts w:ascii="Open Sans" w:hAnsi="Open Sans"/>
          <w:bCs/>
          <w:spacing w:val="2"/>
          <w:sz w:val="23"/>
          <w:szCs w:val="23"/>
        </w:rPr>
        <w:t xml:space="preserve">Obrázek 4 CLA, vnitřní forma, abscesy v mezenteriálních mízních uzlinách ovce (převzato </w:t>
      </w:r>
      <w:hyperlink r:id="rId11" w:history="1">
        <w:r w:rsidRPr="007B3257">
          <w:rPr>
            <w:rStyle w:val="Hypertextovodkaz"/>
            <w:color w:val="auto"/>
          </w:rPr>
          <w:t>https://www.msdvetmanual.com/</w:t>
        </w:r>
      </w:hyperlink>
      <w:r w:rsidRPr="007B3257">
        <w:rPr>
          <w:rStyle w:val="Hypertextovodkaz"/>
          <w:color w:val="auto"/>
        </w:rPr>
        <w:t>, 11. 4. 2019)</w:t>
      </w:r>
    </w:p>
    <w:p w:rsidR="00CD3869" w:rsidRPr="005E2CDD" w:rsidRDefault="00CD3869" w:rsidP="00CD3869">
      <w:pPr>
        <w:shd w:val="clear" w:color="auto" w:fill="FFFFFF"/>
        <w:textAlignment w:val="center"/>
        <w:rPr>
          <w:rFonts w:ascii="Open Sans" w:hAnsi="Open Sans"/>
          <w:b/>
          <w:bCs/>
          <w:spacing w:val="2"/>
          <w:sz w:val="23"/>
          <w:szCs w:val="23"/>
        </w:rPr>
      </w:pPr>
      <w:r w:rsidRPr="005E2CDD">
        <w:rPr>
          <w:rFonts w:ascii="Open Sans" w:hAnsi="Open Sans"/>
          <w:b/>
          <w:bCs/>
          <w:noProof/>
          <w:spacing w:val="2"/>
          <w:sz w:val="23"/>
          <w:szCs w:val="23"/>
        </w:rPr>
        <w:drawing>
          <wp:inline distT="0" distB="0" distL="0" distR="0" wp14:anchorId="4391FCEE" wp14:editId="52A101C3">
            <wp:extent cx="3335020" cy="2493645"/>
            <wp:effectExtent l="0" t="0" r="0" b="190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5020" cy="2493645"/>
                    </a:xfrm>
                    <a:prstGeom prst="rect">
                      <a:avLst/>
                    </a:prstGeom>
                    <a:noFill/>
                  </pic:spPr>
                </pic:pic>
              </a:graphicData>
            </a:graphic>
          </wp:inline>
        </w:drawing>
      </w:r>
    </w:p>
    <w:p w:rsidR="00CD3869" w:rsidRPr="005E2CDD" w:rsidRDefault="00CD3869" w:rsidP="00CD3869">
      <w:pPr>
        <w:shd w:val="clear" w:color="auto" w:fill="FFFFFF"/>
        <w:textAlignment w:val="center"/>
        <w:rPr>
          <w:rFonts w:ascii="Open Sans" w:hAnsi="Open Sans"/>
          <w:b/>
          <w:bCs/>
          <w:spacing w:val="2"/>
          <w:sz w:val="23"/>
          <w:szCs w:val="23"/>
        </w:rPr>
      </w:pPr>
    </w:p>
    <w:p w:rsidR="0074731C" w:rsidRPr="00472913" w:rsidRDefault="0074731C" w:rsidP="00472913">
      <w:pPr>
        <w:shd w:val="clear" w:color="auto" w:fill="FFFFFF"/>
        <w:spacing w:line="255" w:lineRule="atLeast"/>
        <w:rPr>
          <w:rFonts w:ascii="Open Sans" w:hAnsi="Open Sans"/>
          <w:caps/>
          <w:spacing w:val="2"/>
          <w:sz w:val="17"/>
          <w:szCs w:val="17"/>
        </w:rPr>
      </w:pPr>
    </w:p>
    <w:sectPr w:rsidR="0074731C" w:rsidRPr="004729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869"/>
    <w:rsid w:val="00472913"/>
    <w:rsid w:val="0074731C"/>
    <w:rsid w:val="00A3327B"/>
    <w:rsid w:val="00B0459D"/>
    <w:rsid w:val="00CD38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F0BC0B-D8B1-4931-BB6D-7C482C2A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D3869"/>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CD3869"/>
    <w:rPr>
      <w:color w:val="0563C1" w:themeColor="hyperlink"/>
      <w:u w:val="single"/>
    </w:rPr>
  </w:style>
  <w:style w:type="character" w:styleId="Zdraznn">
    <w:name w:val="Emphasis"/>
    <w:basedOn w:val="Standardnpsmoodstavce"/>
    <w:uiPriority w:val="20"/>
    <w:qFormat/>
    <w:rsid w:val="00CD38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msdvetmanual.com/"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msdvetmanual.com/" TargetMode="External"/><Relationship Id="rId5" Type="http://schemas.openxmlformats.org/officeDocument/2006/relationships/hyperlink" Target="https://www.msdvetmanual.com/" TargetMode="External"/><Relationship Id="rId10" Type="http://schemas.openxmlformats.org/officeDocument/2006/relationships/image" Target="media/image3.jpeg"/><Relationship Id="rId4" Type="http://schemas.openxmlformats.org/officeDocument/2006/relationships/hyperlink" Target="http://apps.webofknowledge.com/DaisyOneClickSearch.do?product=WOS&amp;search_mode=DaisyOneClickSearch&amp;colName=WOS&amp;SID=S1B1n8PZXPKyJBchrpR&amp;author_name=Oliveira,%20M&amp;dais_id=58448880&amp;excludeEventConfig=ExcludeIfFromFullRecPage" TargetMode="External"/><Relationship Id="rId9" Type="http://schemas.openxmlformats.org/officeDocument/2006/relationships/hyperlink" Target="https://www.msdvetmanual.com/" TargetMode="External"/><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6</Pages>
  <Words>1796</Words>
  <Characters>10603</Characters>
  <Application>Microsoft Office Word</Application>
  <DocSecurity>0</DocSecurity>
  <Lines>88</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Oukropcová</dc:creator>
  <cp:keywords/>
  <dc:description/>
  <cp:lastModifiedBy>Iva Oukropcová</cp:lastModifiedBy>
  <cp:revision>2</cp:revision>
  <dcterms:created xsi:type="dcterms:W3CDTF">2019-04-17T07:20:00Z</dcterms:created>
  <dcterms:modified xsi:type="dcterms:W3CDTF">2019-07-09T09:10:00Z</dcterms:modified>
</cp:coreProperties>
</file>